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62D8" w14:textId="5DB0297B" w:rsidR="007832C4" w:rsidRDefault="007832C4" w:rsidP="007832C4">
      <w:pPr>
        <w:pStyle w:val="a7"/>
        <w:rPr>
          <w:rFonts w:ascii="標楷體" w:eastAsia="標楷體" w:hAnsi="標楷體"/>
        </w:rPr>
      </w:pPr>
      <w:bookmarkStart w:id="0" w:name="_Toc82430519"/>
      <w:r w:rsidRPr="00A03F7D">
        <w:rPr>
          <w:rFonts w:ascii="標楷體" w:eastAsia="標楷體" w:hAnsi="標楷體" w:hint="eastAsia"/>
        </w:rPr>
        <w:t>110</w:t>
      </w:r>
      <w:r w:rsidRPr="00A03F7D">
        <w:rPr>
          <w:rFonts w:ascii="標楷體" w:eastAsia="標楷體" w:hAnsi="標楷體"/>
        </w:rPr>
        <w:t>年</w:t>
      </w:r>
      <w:r w:rsidRPr="00A03F7D">
        <w:rPr>
          <w:rFonts w:ascii="標楷體" w:eastAsia="標楷體" w:hAnsi="標楷體" w:hint="eastAsia"/>
        </w:rPr>
        <w:t>1</w:t>
      </w:r>
      <w:r w:rsidRPr="00A03F7D">
        <w:rPr>
          <w:rFonts w:ascii="標楷體" w:eastAsia="標楷體" w:hAnsi="標楷體"/>
        </w:rPr>
        <w:t>-8</w:t>
      </w:r>
      <w:r w:rsidRPr="00A03F7D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性別主流化</w:t>
      </w:r>
      <w:r w:rsidRPr="00A03F7D">
        <w:rPr>
          <w:rFonts w:ascii="標楷體" w:eastAsia="標楷體" w:hAnsi="標楷體"/>
        </w:rPr>
        <w:t>執行成果表</w:t>
      </w:r>
      <w:bookmarkEnd w:id="0"/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821"/>
        <w:gridCol w:w="1565"/>
      </w:tblGrid>
      <w:tr w:rsidR="007832C4" w:rsidRPr="00A03F7D" w14:paraId="4A66C768" w14:textId="77777777" w:rsidTr="00A921F3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2F9B3A9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206E4745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1B0D29F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3821" w:type="dxa"/>
            <w:shd w:val="clear" w:color="auto" w:fill="auto"/>
            <w:vAlign w:val="center"/>
          </w:tcPr>
          <w:p w14:paraId="378CEC36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3F7D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A03F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proofErr w:type="gramEnd"/>
            <w:r w:rsidRPr="00A03F7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年度執行成果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舉例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65" w:type="dxa"/>
            <w:vAlign w:val="center"/>
          </w:tcPr>
          <w:p w14:paraId="344EB447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備註</w:t>
            </w:r>
          </w:p>
        </w:tc>
      </w:tr>
      <w:tr w:rsidR="007832C4" w:rsidRPr="00A03F7D" w14:paraId="1E6E2F7B" w14:textId="77777777" w:rsidTr="00A921F3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3FCC2C9" w14:textId="77777777" w:rsidR="007832C4" w:rsidRPr="00A03F7D" w:rsidRDefault="007832C4" w:rsidP="00A921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72C98956" w14:textId="77777777" w:rsidR="007832C4" w:rsidRPr="00A03F7D" w:rsidRDefault="007832C4" w:rsidP="00A921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性別平等專責小組</w:t>
            </w:r>
          </w:p>
          <w:p w14:paraId="38A68CCC" w14:textId="77777777" w:rsidR="007832C4" w:rsidRPr="00A03F7D" w:rsidRDefault="007832C4" w:rsidP="00A921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含性別議題聯絡人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68743EF4" w14:textId="77777777" w:rsidR="007832C4" w:rsidRPr="00A03F7D" w:rsidRDefault="007832C4" w:rsidP="007832C4">
            <w:pPr>
              <w:numPr>
                <w:ilvl w:val="0"/>
                <w:numId w:val="1"/>
              </w:numPr>
              <w:tabs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性別平等專責小組成立時間及會議召開情形。</w:t>
            </w:r>
          </w:p>
          <w:p w14:paraId="4EA01678" w14:textId="77777777" w:rsidR="007832C4" w:rsidRPr="00A03F7D" w:rsidRDefault="007832C4" w:rsidP="007832C4">
            <w:pPr>
              <w:numPr>
                <w:ilvl w:val="0"/>
                <w:numId w:val="1"/>
              </w:numPr>
              <w:tabs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性別平等專責小組委員任一性別不得低於</w:t>
            </w: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三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分之</w:t>
            </w: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一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  <w:p w14:paraId="6E8ACEC9" w14:textId="77777777" w:rsidR="007832C4" w:rsidRPr="00A03F7D" w:rsidRDefault="007832C4" w:rsidP="007832C4">
            <w:pPr>
              <w:numPr>
                <w:ilvl w:val="0"/>
                <w:numId w:val="1"/>
              </w:numPr>
              <w:tabs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為推動該局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處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性別業務，需穩定各局處性別議題聯絡人之持續性。</w:t>
            </w:r>
          </w:p>
          <w:p w14:paraId="5E2BE303" w14:textId="77777777" w:rsidR="007832C4" w:rsidRPr="00A03F7D" w:rsidRDefault="007832C4" w:rsidP="007832C4">
            <w:pPr>
              <w:numPr>
                <w:ilvl w:val="0"/>
                <w:numId w:val="1"/>
              </w:numPr>
              <w:tabs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局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處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3821" w:type="dxa"/>
            <w:shd w:val="clear" w:color="auto" w:fill="auto"/>
          </w:tcPr>
          <w:p w14:paraId="54B0DCCE" w14:textId="77777777" w:rsidR="007832C4" w:rsidRPr="00A03F7D" w:rsidRDefault="007832C4" w:rsidP="007832C4">
            <w:pPr>
              <w:numPr>
                <w:ilvl w:val="1"/>
                <w:numId w:val="6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已於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110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年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月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7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日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召開性別平等專責小組會議，本年度共召開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次。</w:t>
            </w:r>
          </w:p>
          <w:p w14:paraId="2013A833" w14:textId="77777777" w:rsidR="007832C4" w:rsidRPr="00A03F7D" w:rsidRDefault="007832C4" w:rsidP="007832C4">
            <w:pPr>
              <w:numPr>
                <w:ilvl w:val="1"/>
                <w:numId w:val="6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性別平等專責小組委員總人數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4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，男性委員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8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57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%)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；女性委員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6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43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%)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2D286C71" w14:textId="77777777" w:rsidR="007832C4" w:rsidRPr="00A03F7D" w:rsidRDefault="007832C4" w:rsidP="007832C4">
            <w:pPr>
              <w:numPr>
                <w:ilvl w:val="1"/>
                <w:numId w:val="6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(11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0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年性別議題聯絡人：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陳湘瀅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，擔任期間：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108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年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8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月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至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110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年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8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月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，穩定度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100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%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02D50292" w14:textId="77777777" w:rsidR="007832C4" w:rsidRPr="00A03F7D" w:rsidRDefault="007832C4" w:rsidP="007832C4">
            <w:pPr>
              <w:numPr>
                <w:ilvl w:val="1"/>
                <w:numId w:val="6"/>
              </w:numPr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各委員會性別比率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：</w:t>
            </w:r>
          </w:p>
          <w:p w14:paraId="40D05482" w14:textId="77777777" w:rsidR="007832C4" w:rsidRPr="00A03F7D" w:rsidRDefault="007832C4" w:rsidP="007832C4">
            <w:pPr>
              <w:numPr>
                <w:ilvl w:val="0"/>
                <w:numId w:val="11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委員會名稱：桃園市政府觀光旅遊局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110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年度公務人員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甄審暨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考績委員會。</w:t>
            </w:r>
          </w:p>
          <w:p w14:paraId="1346E549" w14:textId="77777777" w:rsidR="007832C4" w:rsidRPr="00A03F7D" w:rsidRDefault="007832C4" w:rsidP="00A921F3">
            <w:pPr>
              <w:snapToGrid w:val="0"/>
              <w:spacing w:line="360" w:lineRule="exact"/>
              <w:ind w:leftChars="127" w:left="305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委員總人數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11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人，男性委員</w:t>
            </w:r>
          </w:p>
          <w:p w14:paraId="21D6D4C6" w14:textId="77777777" w:rsidR="007832C4" w:rsidRPr="00A03F7D" w:rsidRDefault="007832C4" w:rsidP="00A921F3">
            <w:pPr>
              <w:snapToGrid w:val="0"/>
              <w:spacing w:line="360" w:lineRule="exact"/>
              <w:ind w:leftChars="127" w:left="305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36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%)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；女性委員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7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64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%)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。</w:t>
            </w:r>
          </w:p>
          <w:p w14:paraId="49AD6CB2" w14:textId="77777777" w:rsidR="007832C4" w:rsidRPr="00A03F7D" w:rsidRDefault="007832C4" w:rsidP="007832C4">
            <w:pPr>
              <w:numPr>
                <w:ilvl w:val="0"/>
                <w:numId w:val="11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委員會名稱：桃園市政府風景區管理處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110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年度公務人員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甄審暨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考績委員會。</w:t>
            </w:r>
          </w:p>
          <w:p w14:paraId="1D2FCE6B" w14:textId="77777777" w:rsidR="007832C4" w:rsidRPr="00A03F7D" w:rsidRDefault="007832C4" w:rsidP="00A921F3">
            <w:pPr>
              <w:snapToGrid w:val="0"/>
              <w:spacing w:line="360" w:lineRule="exact"/>
              <w:ind w:leftChars="127" w:left="305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委員總人數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7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人，男性委員</w:t>
            </w:r>
          </w:p>
          <w:p w14:paraId="4E0EABF9" w14:textId="77777777" w:rsidR="007832C4" w:rsidRPr="00A03F7D" w:rsidRDefault="007832C4" w:rsidP="00A921F3">
            <w:pPr>
              <w:snapToGrid w:val="0"/>
              <w:spacing w:line="360" w:lineRule="exact"/>
              <w:ind w:leftChars="127" w:left="305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57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%)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；女性委員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3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43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%)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。</w:t>
            </w:r>
          </w:p>
          <w:p w14:paraId="23E845C7" w14:textId="77777777" w:rsidR="007832C4" w:rsidRPr="00A03F7D" w:rsidRDefault="007832C4" w:rsidP="007832C4">
            <w:pPr>
              <w:numPr>
                <w:ilvl w:val="0"/>
                <w:numId w:val="11"/>
              </w:num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委員會名稱：觀光發展會。</w:t>
            </w:r>
          </w:p>
          <w:p w14:paraId="20C9A05D" w14:textId="77777777" w:rsidR="007832C4" w:rsidRPr="00A03F7D" w:rsidRDefault="007832C4" w:rsidP="00A921F3">
            <w:pPr>
              <w:snapToGrid w:val="0"/>
              <w:spacing w:line="360" w:lineRule="exact"/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委員總人數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20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人，男性委員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13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65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%)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；女性委員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7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35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%)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565" w:type="dxa"/>
            <w:vAlign w:val="center"/>
          </w:tcPr>
          <w:p w14:paraId="7219C4AF" w14:textId="77777777" w:rsidR="007832C4" w:rsidRPr="00A03F7D" w:rsidRDefault="007832C4" w:rsidP="00A921F3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穩定度算法</w:t>
            </w:r>
            <w:proofErr w:type="gramEnd"/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為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年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)/1(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)=100%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；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1(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年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)/2(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)=50%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，</w:t>
            </w:r>
          </w:p>
          <w:p w14:paraId="619B508E" w14:textId="77777777" w:rsidR="007832C4" w:rsidRPr="00A03F7D" w:rsidRDefault="007832C4" w:rsidP="00A921F3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以此類推。</w:t>
            </w:r>
          </w:p>
        </w:tc>
      </w:tr>
      <w:tr w:rsidR="007832C4" w:rsidRPr="00A03F7D" w14:paraId="43834BFE" w14:textId="77777777" w:rsidTr="00A921F3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42037A3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  <w:vAlign w:val="center"/>
          </w:tcPr>
          <w:p w14:paraId="6303134C" w14:textId="77777777" w:rsidR="007832C4" w:rsidRPr="00A03F7D" w:rsidRDefault="007832C4" w:rsidP="00A921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性別意識</w:t>
            </w:r>
          </w:p>
          <w:p w14:paraId="08083576" w14:textId="77777777" w:rsidR="007832C4" w:rsidRPr="00A03F7D" w:rsidRDefault="007832C4" w:rsidP="00A921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3DF7A418" w14:textId="77777777" w:rsidR="007832C4" w:rsidRPr="00A03F7D" w:rsidRDefault="007832C4" w:rsidP="007832C4">
            <w:pPr>
              <w:numPr>
                <w:ilvl w:val="0"/>
                <w:numId w:val="8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該機關一般公務人員參與性別意識培力人數與比例。「一般公務人員」係指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 xml:space="preserve"> (1)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依法任用、派用之有給專任人員。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(2)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依法聘任、聘用及僱用人員。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(3)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公務人員考試錄取人員。</w:t>
            </w:r>
          </w:p>
          <w:p w14:paraId="605EF758" w14:textId="77777777" w:rsidR="007832C4" w:rsidRPr="00A03F7D" w:rsidRDefault="007832C4" w:rsidP="007832C4">
            <w:pPr>
              <w:numPr>
                <w:ilvl w:val="0"/>
                <w:numId w:val="8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該機關主管人員參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與性別意識培力人數與比例。「主管人員」係指機關正副首長、正副幕僚長及單位主管。</w:t>
            </w:r>
          </w:p>
          <w:p w14:paraId="3643E7E0" w14:textId="77777777" w:rsidR="007832C4" w:rsidRPr="00A03F7D" w:rsidRDefault="007832C4" w:rsidP="007832C4">
            <w:pPr>
              <w:numPr>
                <w:ilvl w:val="0"/>
                <w:numId w:val="8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案小組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之專責、兼辦人員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含性別平等督導、性別議題聯絡人及議題代理人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3821" w:type="dxa"/>
            <w:shd w:val="clear" w:color="auto" w:fill="auto"/>
          </w:tcPr>
          <w:p w14:paraId="66234E58" w14:textId="77777777" w:rsidR="007832C4" w:rsidRPr="00A03F7D" w:rsidRDefault="007832C4" w:rsidP="007832C4">
            <w:pPr>
              <w:numPr>
                <w:ilvl w:val="1"/>
                <w:numId w:val="5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color w:val="FF0000"/>
                <w:sz w:val="26"/>
                <w:szCs w:val="26"/>
                <w:u w:val="single"/>
              </w:rPr>
            </w:pP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lastRenderedPageBreak/>
              <w:t>本局(處)一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般公務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人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員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共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有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111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人（分別男性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5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4%，女性4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6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%）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。主管人員共有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19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人(分別男性5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8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%，女性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42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%)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。辦理性別平等業務相關人員共有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4人(分別男性25%，女性75%)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。</w:t>
            </w:r>
          </w:p>
          <w:p w14:paraId="73817B3B" w14:textId="77777777" w:rsidR="007832C4" w:rsidRPr="00A03F7D" w:rsidRDefault="007832C4" w:rsidP="007832C4">
            <w:pPr>
              <w:numPr>
                <w:ilvl w:val="1"/>
                <w:numId w:val="5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</w:pP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一般公務人員，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參與性別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意識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培力課程為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64人(分別男性48%，女性52%)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，參加實體課程受訓為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2人(分別男性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lastRenderedPageBreak/>
              <w:t>100%，女性0%)，參加數位課程受訓為62人(分別男性48%，女性52%)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。受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訓比率較前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一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年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無增減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。</w:t>
            </w:r>
          </w:p>
          <w:p w14:paraId="49616A8A" w14:textId="77777777" w:rsidR="007832C4" w:rsidRPr="00A03F7D" w:rsidRDefault="007832C4" w:rsidP="007832C4">
            <w:pPr>
              <w:numPr>
                <w:ilvl w:val="1"/>
                <w:numId w:val="5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主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管人員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，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參與性別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意識</w:t>
            </w:r>
            <w:r w:rsidRPr="00A03F7D"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  <w:t>培力課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程為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19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人(分別男性5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8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%，女性4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2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%)，參加實體課程受訓為3人(分別男性0%，女性100%)，參加數位課程受訓為</w:t>
            </w:r>
            <w:r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16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人(分別男性60%，女性40%)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。受訓比率較前一年無增減。</w:t>
            </w:r>
          </w:p>
          <w:p w14:paraId="3940FD62" w14:textId="77777777" w:rsidR="007832C4" w:rsidRPr="00A03F7D" w:rsidRDefault="007832C4" w:rsidP="007832C4">
            <w:pPr>
              <w:numPr>
                <w:ilvl w:val="1"/>
                <w:numId w:val="5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性別平等業務相關人員，參與性別課程為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分別男性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25%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，女性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75%)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，平均受訓時數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10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小時。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參訓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日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以上性別工作坊為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人，受訓人數比率較前一年無增減。</w:t>
            </w:r>
          </w:p>
        </w:tc>
        <w:tc>
          <w:tcPr>
            <w:tcW w:w="1565" w:type="dxa"/>
          </w:tcPr>
          <w:p w14:paraId="0D457CDC" w14:textId="77777777" w:rsidR="007832C4" w:rsidRPr="00A03F7D" w:rsidRDefault="007832C4" w:rsidP="00A921F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lastRenderedPageBreak/>
              <w:t>1.</w:t>
            </w: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本局</w:t>
            </w: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處</w:t>
            </w:r>
          </w:p>
          <w:p w14:paraId="3DD3B8BF" w14:textId="77777777" w:rsidR="007832C4" w:rsidRPr="00A03F7D" w:rsidRDefault="007832C4" w:rsidP="00A921F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性別平等業務相關人員為呂主任秘書秀琴、秘書室陳主任湘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瀅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、周科員新桂；風管處為張聘用專案助理</w:t>
            </w: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lastRenderedPageBreak/>
              <w:t>美瑤。</w:t>
            </w:r>
          </w:p>
          <w:p w14:paraId="7E635365" w14:textId="77777777" w:rsidR="007832C4" w:rsidRPr="00A03F7D" w:rsidRDefault="007832C4" w:rsidP="00A921F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2.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本次性別平等相關人員計算基準為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110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8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月底，列入計算人員為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呂主任秘書秀琴、秘書室陳主任湘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瀅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及周科員新桂；風管處為張聘用專案助理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美瑤等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人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。</w:t>
            </w:r>
          </w:p>
        </w:tc>
      </w:tr>
      <w:tr w:rsidR="007832C4" w:rsidRPr="00A03F7D" w14:paraId="0DDBD21D" w14:textId="77777777" w:rsidTr="00A921F3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1F072452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三</w:t>
            </w:r>
          </w:p>
        </w:tc>
        <w:tc>
          <w:tcPr>
            <w:tcW w:w="1304" w:type="dxa"/>
            <w:vAlign w:val="center"/>
          </w:tcPr>
          <w:p w14:paraId="7009177B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27D6C4A5" w14:textId="77777777" w:rsidR="007832C4" w:rsidRPr="00A03F7D" w:rsidRDefault="007832C4" w:rsidP="00A921F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821" w:type="dxa"/>
            <w:shd w:val="clear" w:color="auto" w:fill="auto"/>
          </w:tcPr>
          <w:p w14:paraId="7542A443" w14:textId="77777777" w:rsidR="007832C4" w:rsidRPr="00A03F7D" w:rsidRDefault="007832C4" w:rsidP="007832C4">
            <w:pPr>
              <w:numPr>
                <w:ilvl w:val="0"/>
                <w:numId w:val="2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本局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處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制定或修正本市自治條例進行性別影響評估之件數，共有</w:t>
            </w:r>
            <w:r w:rsidRPr="00A03F7D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u w:val="single"/>
              </w:rPr>
              <w:t>0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件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，分述如下：</w:t>
            </w:r>
          </w:p>
          <w:p w14:paraId="18A492A2" w14:textId="77777777" w:rsidR="007832C4" w:rsidRPr="00A03F7D" w:rsidRDefault="007832C4" w:rsidP="007832C4">
            <w:pPr>
              <w:numPr>
                <w:ilvl w:val="0"/>
                <w:numId w:val="3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法案名稱：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____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  <w:p w14:paraId="7C9A00BA" w14:textId="77777777" w:rsidR="007832C4" w:rsidRPr="00A03F7D" w:rsidRDefault="007832C4" w:rsidP="007832C4">
            <w:pPr>
              <w:numPr>
                <w:ilvl w:val="0"/>
                <w:numId w:val="3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程序參與之學者：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____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  <w:p w14:paraId="3B1AE265" w14:textId="77777777" w:rsidR="007832C4" w:rsidRPr="00A03F7D" w:rsidRDefault="007832C4" w:rsidP="007832C4">
            <w:pPr>
              <w:numPr>
                <w:ilvl w:val="0"/>
                <w:numId w:val="3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法案與性別關聯程度：</w:t>
            </w:r>
          </w:p>
          <w:p w14:paraId="116C1C3A" w14:textId="77777777" w:rsidR="007832C4" w:rsidRPr="00A03F7D" w:rsidRDefault="007832C4" w:rsidP="00A921F3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有關：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件；無關：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___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件。</w:t>
            </w:r>
          </w:p>
          <w:p w14:paraId="7B83A73F" w14:textId="77777777" w:rsidR="007832C4" w:rsidRPr="00A03F7D" w:rsidRDefault="007832C4" w:rsidP="007832C4">
            <w:pPr>
              <w:numPr>
                <w:ilvl w:val="0"/>
                <w:numId w:val="3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較前一年減少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/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新增</w:t>
            </w:r>
            <w:r w:rsidRPr="00A03F7D">
              <w:rPr>
                <w:rFonts w:ascii="標楷體" w:eastAsia="標楷體" w:hAnsi="標楷體" w:cs="Times New Roman" w:hint="eastAsia"/>
                <w:color w:val="000000"/>
                <w:sz w:val="26"/>
                <w:szCs w:val="26"/>
                <w:u w:val="single"/>
              </w:rPr>
              <w:t>0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  <w:u w:val="single"/>
              </w:rPr>
              <w:t>件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  <w:p w14:paraId="04B41559" w14:textId="77777777" w:rsidR="007832C4" w:rsidRPr="00A03F7D" w:rsidRDefault="007832C4" w:rsidP="007832C4">
            <w:pPr>
              <w:numPr>
                <w:ilvl w:val="0"/>
                <w:numId w:val="2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重大施政計畫等進行性別影響評估共有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件，分述如下：</w:t>
            </w:r>
          </w:p>
          <w:p w14:paraId="0BA3BBBF" w14:textId="77777777" w:rsidR="007832C4" w:rsidRPr="00A03F7D" w:rsidRDefault="007832C4" w:rsidP="007832C4">
            <w:pPr>
              <w:numPr>
                <w:ilvl w:val="0"/>
                <w:numId w:val="4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計畫名稱：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高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遶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自然步道環境營造計畫工程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23663BA5" w14:textId="77777777" w:rsidR="007832C4" w:rsidRPr="00A03F7D" w:rsidRDefault="007832C4" w:rsidP="007832C4">
            <w:pPr>
              <w:numPr>
                <w:ilvl w:val="0"/>
                <w:numId w:val="4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程序參與之學者：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嚴祥鸞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240AF7B1" w14:textId="77777777" w:rsidR="007832C4" w:rsidRPr="00A03F7D" w:rsidRDefault="007832C4" w:rsidP="007832C4">
            <w:pPr>
              <w:numPr>
                <w:ilvl w:val="0"/>
                <w:numId w:val="4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計畫與性別關聯程度：</w:t>
            </w:r>
          </w:p>
          <w:p w14:paraId="53CD1778" w14:textId="77777777" w:rsidR="007832C4" w:rsidRPr="00A03F7D" w:rsidRDefault="007832C4" w:rsidP="00A921F3">
            <w:pPr>
              <w:snapToGrid w:val="0"/>
              <w:spacing w:line="360" w:lineRule="exact"/>
              <w:ind w:leftChars="127" w:left="305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有關：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件；無關：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0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件。</w:t>
            </w:r>
          </w:p>
          <w:p w14:paraId="7E0A2C15" w14:textId="77777777" w:rsidR="007832C4" w:rsidRPr="00A03F7D" w:rsidRDefault="007832C4" w:rsidP="007832C4">
            <w:pPr>
              <w:numPr>
                <w:ilvl w:val="0"/>
                <w:numId w:val="4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較前一年減少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/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新增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0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件。</w:t>
            </w:r>
          </w:p>
          <w:p w14:paraId="674A2B7F" w14:textId="77777777" w:rsidR="007832C4" w:rsidRPr="00A03F7D" w:rsidRDefault="007832C4" w:rsidP="007832C4">
            <w:pPr>
              <w:numPr>
                <w:ilvl w:val="0"/>
                <w:numId w:val="2"/>
              </w:numPr>
              <w:tabs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lastRenderedPageBreak/>
              <w:t>本局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非重大施政計畫等進行性別影響評估共有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件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，分述如下：</w:t>
            </w:r>
          </w:p>
          <w:p w14:paraId="2373895F" w14:textId="77777777" w:rsidR="007832C4" w:rsidRPr="00A03F7D" w:rsidRDefault="007832C4" w:rsidP="007832C4">
            <w:pPr>
              <w:numPr>
                <w:ilvl w:val="0"/>
                <w:numId w:val="7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計畫名稱：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巴陵時光步道串聯整建工程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2269BA03" w14:textId="77777777" w:rsidR="007832C4" w:rsidRPr="00A03F7D" w:rsidRDefault="007832C4" w:rsidP="007832C4">
            <w:pPr>
              <w:numPr>
                <w:ilvl w:val="0"/>
                <w:numId w:val="7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程序參與之學者：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嚴祥鸞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4D11B6EB" w14:textId="77777777" w:rsidR="007832C4" w:rsidRPr="00A03F7D" w:rsidRDefault="007832C4" w:rsidP="007832C4">
            <w:pPr>
              <w:numPr>
                <w:ilvl w:val="0"/>
                <w:numId w:val="7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計畫與性別關聯程度：</w:t>
            </w:r>
          </w:p>
          <w:p w14:paraId="3BA32732" w14:textId="77777777" w:rsidR="007832C4" w:rsidRPr="00A03F7D" w:rsidRDefault="007832C4" w:rsidP="00A921F3">
            <w:pPr>
              <w:snapToGrid w:val="0"/>
              <w:spacing w:line="360" w:lineRule="exact"/>
              <w:ind w:leftChars="127" w:left="305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有關：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件；無關：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0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件。</w:t>
            </w:r>
          </w:p>
          <w:p w14:paraId="7D236A20" w14:textId="77777777" w:rsidR="007832C4" w:rsidRPr="00A03F7D" w:rsidRDefault="007832C4" w:rsidP="007832C4">
            <w:pPr>
              <w:numPr>
                <w:ilvl w:val="0"/>
                <w:numId w:val="7"/>
              </w:numPr>
              <w:snapToGrid w:val="0"/>
              <w:spacing w:line="360" w:lineRule="exact"/>
              <w:ind w:left="284" w:hanging="284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較前一年減少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/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新增</w:t>
            </w:r>
            <w:r w:rsidRPr="00A03F7D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  <w:u w:val="single"/>
              </w:rPr>
              <w:t>0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件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565" w:type="dxa"/>
            <w:vAlign w:val="center"/>
          </w:tcPr>
          <w:p w14:paraId="52AB39F8" w14:textId="77777777" w:rsidR="007832C4" w:rsidRPr="00A03F7D" w:rsidRDefault="007832C4" w:rsidP="00A921F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lastRenderedPageBreak/>
              <w:t>本府制定或修正本市自治條例、</w:t>
            </w:r>
            <w:proofErr w:type="gramStart"/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研</w:t>
            </w:r>
            <w:proofErr w:type="gramEnd"/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7832C4" w:rsidRPr="00A03F7D" w14:paraId="39E62422" w14:textId="77777777" w:rsidTr="00A921F3">
        <w:trPr>
          <w:trHeight w:val="249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5184F0B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14:paraId="509D2ECA" w14:textId="77777777" w:rsidR="007832C4" w:rsidRPr="00A03F7D" w:rsidRDefault="007832C4" w:rsidP="00A921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性別統計</w:t>
            </w:r>
          </w:p>
          <w:p w14:paraId="3918D466" w14:textId="77777777" w:rsidR="007832C4" w:rsidRPr="00A03F7D" w:rsidRDefault="007832C4" w:rsidP="00A921F3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8991ECE" w14:textId="77777777" w:rsidR="007832C4" w:rsidRPr="00A03F7D" w:rsidRDefault="007832C4" w:rsidP="007832C4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增進性別統計資料與分析之完備性。</w:t>
            </w:r>
          </w:p>
          <w:p w14:paraId="753F7ED4" w14:textId="77777777" w:rsidR="007832C4" w:rsidRPr="00A03F7D" w:rsidRDefault="007832C4" w:rsidP="007832C4">
            <w:pPr>
              <w:numPr>
                <w:ilvl w:val="0"/>
                <w:numId w:val="9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821" w:type="dxa"/>
            <w:shd w:val="clear" w:color="auto" w:fill="auto"/>
          </w:tcPr>
          <w:p w14:paraId="1FF17B7C" w14:textId="77777777" w:rsidR="007832C4" w:rsidRPr="00A03F7D" w:rsidRDefault="007832C4" w:rsidP="007832C4">
            <w:pPr>
              <w:numPr>
                <w:ilvl w:val="0"/>
                <w:numId w:val="12"/>
              </w:numPr>
              <w:tabs>
                <w:tab w:val="clear" w:pos="360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本局於上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(109)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年的性別統計項目共有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項（含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複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分類），本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(110)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年的性別統計項目共有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26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項，新增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項。</w:t>
            </w:r>
          </w:p>
          <w:p w14:paraId="0E1B1041" w14:textId="77777777" w:rsidR="007832C4" w:rsidRPr="00A03F7D" w:rsidRDefault="007832C4" w:rsidP="007832C4">
            <w:pPr>
              <w:numPr>
                <w:ilvl w:val="0"/>
                <w:numId w:val="12"/>
              </w:numPr>
              <w:tabs>
                <w:tab w:val="clear" w:pos="360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本局於上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(109)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年的性別分析篇數共有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3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篇，本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(110)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年的性別統計分析共有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5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篇，新增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篇，項目分別為：「貼心旅遊諮詢服務性別統計分析」及「復興區蝙蝠洞入口休憩節點及遊程動線環境整備工程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-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復興區周邊遊客性別統計分析」。</w:t>
            </w:r>
          </w:p>
          <w:p w14:paraId="3F4B36AD" w14:textId="77777777" w:rsidR="007832C4" w:rsidRPr="00A03F7D" w:rsidRDefault="007832C4" w:rsidP="007832C4">
            <w:pPr>
              <w:numPr>
                <w:ilvl w:val="0"/>
                <w:numId w:val="12"/>
              </w:numPr>
              <w:tabs>
                <w:tab w:val="clear" w:pos="360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本局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(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處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)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已於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110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月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7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日性別平等專責小組會議定期檢討性別統計指標之增加或修正。</w:t>
            </w:r>
          </w:p>
        </w:tc>
        <w:tc>
          <w:tcPr>
            <w:tcW w:w="1565" w:type="dxa"/>
            <w:vAlign w:val="center"/>
          </w:tcPr>
          <w:p w14:paraId="437D5301" w14:textId="77777777" w:rsidR="007832C4" w:rsidRPr="00A03F7D" w:rsidRDefault="007832C4" w:rsidP="00A921F3">
            <w:pPr>
              <w:snapToGrid w:val="0"/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性別統計與分析之定期檢討應納入性別平等專責小組會議討論。</w:t>
            </w:r>
          </w:p>
        </w:tc>
      </w:tr>
      <w:tr w:rsidR="007832C4" w:rsidRPr="00A03F7D" w14:paraId="048F9F6A" w14:textId="77777777" w:rsidTr="00A921F3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4D04ECDD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14:paraId="50FFC32F" w14:textId="77777777" w:rsidR="007832C4" w:rsidRPr="00A03F7D" w:rsidRDefault="007832C4" w:rsidP="00A921F3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7EEFC74C" w14:textId="77777777" w:rsidR="007832C4" w:rsidRPr="00A03F7D" w:rsidRDefault="007832C4" w:rsidP="007832C4">
            <w:pPr>
              <w:numPr>
                <w:ilvl w:val="0"/>
                <w:numId w:val="10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各機關於法定預算通過後填寫性別預算表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，並請各機關性別平等專責小組協助檢視。</w:t>
            </w:r>
          </w:p>
          <w:p w14:paraId="4FBDBE06" w14:textId="77777777" w:rsidR="007832C4" w:rsidRPr="00A03F7D" w:rsidRDefault="007832C4" w:rsidP="007832C4">
            <w:pPr>
              <w:numPr>
                <w:ilvl w:val="0"/>
                <w:numId w:val="10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各機關提經各機關性別平等專責小組年度第</w:t>
            </w: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1</w:t>
            </w:r>
            <w:r w:rsidRPr="00A03F7D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次會議檢視後，送主計處彙整提報性別主流化推動組會議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。</w:t>
            </w:r>
          </w:p>
          <w:p w14:paraId="3D2FB922" w14:textId="77777777" w:rsidR="007832C4" w:rsidRPr="00A03F7D" w:rsidRDefault="007832C4" w:rsidP="007832C4">
            <w:pPr>
              <w:numPr>
                <w:ilvl w:val="0"/>
                <w:numId w:val="10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逐年落實發展性別回應預算之目標。</w:t>
            </w:r>
          </w:p>
        </w:tc>
        <w:tc>
          <w:tcPr>
            <w:tcW w:w="3821" w:type="dxa"/>
            <w:shd w:val="clear" w:color="auto" w:fill="auto"/>
          </w:tcPr>
          <w:p w14:paraId="6ADE15BB" w14:textId="77777777" w:rsidR="007832C4" w:rsidRPr="00A03F7D" w:rsidRDefault="007832C4" w:rsidP="007832C4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本局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110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年度性別預算總計</w:t>
            </w:r>
          </w:p>
          <w:p w14:paraId="64F4929B" w14:textId="77777777" w:rsidR="007832C4" w:rsidRPr="00A03F7D" w:rsidRDefault="007832C4" w:rsidP="00A921F3">
            <w:pPr>
              <w:snapToGrid w:val="0"/>
              <w:spacing w:line="360" w:lineRule="exact"/>
              <w:ind w:leftChars="127" w:left="305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11,827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千元，較前一年增加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1,994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千元。</w:t>
            </w:r>
          </w:p>
          <w:p w14:paraId="15A91EE6" w14:textId="77777777" w:rsidR="007832C4" w:rsidRPr="00A03F7D" w:rsidRDefault="007832C4" w:rsidP="00A921F3">
            <w:pPr>
              <w:snapToGrid w:val="0"/>
              <w:spacing w:line="360" w:lineRule="exact"/>
              <w:ind w:leftChars="127" w:left="305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  <w:p w14:paraId="14132830" w14:textId="77777777" w:rsidR="007832C4" w:rsidRPr="00A03F7D" w:rsidRDefault="007832C4" w:rsidP="00A921F3">
            <w:pPr>
              <w:snapToGrid w:val="0"/>
              <w:spacing w:line="360" w:lineRule="exact"/>
              <w:ind w:leftChars="127" w:left="305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</w:p>
          <w:p w14:paraId="3DF9699E" w14:textId="77777777" w:rsidR="007832C4" w:rsidRPr="00A03F7D" w:rsidRDefault="007832C4" w:rsidP="007832C4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110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年度本局會計室彙整各科室性別預算表，於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110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年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4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月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7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日性別平等專責小組會議檢視，已送本府</w:t>
            </w:r>
            <w:proofErr w:type="gramStart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主計處彙辦</w:t>
            </w:r>
            <w:proofErr w:type="gramEnd"/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565" w:type="dxa"/>
            <w:vAlign w:val="center"/>
          </w:tcPr>
          <w:p w14:paraId="2455A45F" w14:textId="77777777" w:rsidR="007832C4" w:rsidRPr="00A03F7D" w:rsidRDefault="007832C4" w:rsidP="00A921F3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請依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「</w:t>
            </w:r>
            <w:r w:rsidRPr="00A03F7D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桃園市政府</w:t>
            </w:r>
            <w:r w:rsidRPr="00A03F7D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性別預算編列原則及注意事項」</w:t>
            </w:r>
            <w:r w:rsidRPr="00A03F7D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填寫。</w:t>
            </w:r>
          </w:p>
        </w:tc>
      </w:tr>
    </w:tbl>
    <w:p w14:paraId="14E36340" w14:textId="77777777" w:rsidR="007832C4" w:rsidRDefault="007832C4" w:rsidP="007832C4"/>
    <w:p w14:paraId="7FAB420E" w14:textId="77777777" w:rsidR="007B320F" w:rsidRPr="007832C4" w:rsidRDefault="007B320F"/>
    <w:sectPr w:rsidR="007B320F" w:rsidRPr="007832C4" w:rsidSect="007832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9177" w14:textId="77777777" w:rsidR="000D6DB8" w:rsidRDefault="000D6DB8" w:rsidP="007832C4">
      <w:r>
        <w:separator/>
      </w:r>
    </w:p>
  </w:endnote>
  <w:endnote w:type="continuationSeparator" w:id="0">
    <w:p w14:paraId="6E89771F" w14:textId="77777777" w:rsidR="000D6DB8" w:rsidRDefault="000D6DB8" w:rsidP="0078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4E8D9" w14:textId="77777777" w:rsidR="000D6DB8" w:rsidRDefault="000D6DB8" w:rsidP="007832C4">
      <w:r>
        <w:separator/>
      </w:r>
    </w:p>
  </w:footnote>
  <w:footnote w:type="continuationSeparator" w:id="0">
    <w:p w14:paraId="1EF9B6A4" w14:textId="77777777" w:rsidR="000D6DB8" w:rsidRDefault="000D6DB8" w:rsidP="00783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CA6287A"/>
    <w:multiLevelType w:val="hybridMultilevel"/>
    <w:tmpl w:val="C3A4EEE2"/>
    <w:lvl w:ilvl="0" w:tplc="FF1686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C35290"/>
    <w:multiLevelType w:val="hybridMultilevel"/>
    <w:tmpl w:val="53984EB0"/>
    <w:lvl w:ilvl="0" w:tplc="765E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D4A5F09"/>
    <w:multiLevelType w:val="hybridMultilevel"/>
    <w:tmpl w:val="D8EC815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FAB824A8">
      <w:start w:val="1"/>
      <w:numFmt w:val="decimal"/>
      <w:lvlText w:val="%2."/>
      <w:lvlJc w:val="left"/>
      <w:pPr>
        <w:ind w:left="1245" w:hanging="360"/>
      </w:pPr>
      <w:rPr>
        <w:rFonts w:hint="default"/>
        <w:color w:val="FF000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7" w15:restartNumberingAfterBreak="0">
    <w:nsid w:val="53ED6633"/>
    <w:multiLevelType w:val="hybridMultilevel"/>
    <w:tmpl w:val="FC781C4A"/>
    <w:lvl w:ilvl="0" w:tplc="E3E66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D435FEA"/>
    <w:multiLevelType w:val="hybridMultilevel"/>
    <w:tmpl w:val="9A10F7A0"/>
    <w:lvl w:ilvl="0" w:tplc="6DCA7CAC">
      <w:start w:val="1"/>
      <w:numFmt w:val="decimal"/>
      <w:lvlText w:val="(%1)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F15AC8"/>
    <w:multiLevelType w:val="hybridMultilevel"/>
    <w:tmpl w:val="8E9A4712"/>
    <w:lvl w:ilvl="0" w:tplc="EB8CE88E">
      <w:start w:val="1"/>
      <w:numFmt w:val="decimal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BF"/>
    <w:rsid w:val="000D6DB8"/>
    <w:rsid w:val="001118BF"/>
    <w:rsid w:val="007832C4"/>
    <w:rsid w:val="007B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35B80"/>
  <w15:chartTrackingRefBased/>
  <w15:docId w15:val="{27A57776-A253-47D5-8C78-F0B79A55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2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3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3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32C4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7832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7832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周新桂</dc:creator>
  <cp:keywords/>
  <dc:description/>
  <cp:lastModifiedBy>周新桂</cp:lastModifiedBy>
  <cp:revision>2</cp:revision>
  <dcterms:created xsi:type="dcterms:W3CDTF">2021-09-29T01:11:00Z</dcterms:created>
  <dcterms:modified xsi:type="dcterms:W3CDTF">2021-09-29T01:13:00Z</dcterms:modified>
</cp:coreProperties>
</file>